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2514600</wp:posOffset>
                </wp:positionH>
                <wp:positionV relativeFrom="paragraph">
                  <wp:posOffset>-256540</wp:posOffset>
                </wp:positionV>
                <wp:extent cx="393700" cy="48514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93840" cy="485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198pt;margin-top:-20.2pt;width:30.95pt;height:38.1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Normal"/>
        <w:jc w:val="right"/>
        <w:rPr>
          <w:rFonts w:ascii="Liberation Serif" w:hAnsi="Liberation Serif" w:cs="Liberation Serif"/>
          <w:b/>
          <w:b/>
          <w:bCs/>
          <w:color w:val="000000"/>
          <w:sz w:val="26"/>
          <w:szCs w:val="26"/>
          <w:lang w:eastAsia="ru-RU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  <w:lang w:eastAsia="ru-RU"/>
        </w:rPr>
      </w:r>
    </w:p>
    <w:p>
      <w:pPr>
        <w:pStyle w:val="1"/>
        <w:numPr>
          <w:ilvl w:val="0"/>
          <w:numId w:val="2"/>
        </w:numPr>
        <w:rPr/>
      </w:pPr>
      <w:r>
        <w:rPr>
          <w:rFonts w:cs="Liberation Serif" w:ascii="Liberation Serif" w:hAnsi="Liberation Serif"/>
          <w:color w:val="000000"/>
          <w:sz w:val="26"/>
          <w:szCs w:val="26"/>
        </w:rPr>
        <w:t>УПРАВЛЕНИЕ ОБРАЗОВАНИЯ И МОЛОДЕЖНОЙ ПОЛИТИКИ</w:t>
      </w:r>
    </w:p>
    <w:p>
      <w:pPr>
        <w:pStyle w:val="1"/>
        <w:numPr>
          <w:ilvl w:val="0"/>
          <w:numId w:val="2"/>
        </w:numPr>
        <w:rPr/>
      </w:pPr>
      <w:r>
        <w:rPr>
          <w:rFonts w:cs="Liberation Serif" w:ascii="Liberation Serif" w:hAnsi="Liberation Serif"/>
          <w:color w:val="000000"/>
          <w:sz w:val="26"/>
          <w:szCs w:val="26"/>
        </w:rPr>
        <w:t>АДМИНИСТРАЦИИ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 w:cs="Liberation Serif"/>
          <w:color w:val="000000"/>
          <w:sz w:val="40"/>
        </w:rPr>
      </w:pPr>
      <w:r>
        <w:rPr>
          <w:rFonts w:cs="Liberation Serif" w:ascii="Liberation Serif" w:hAnsi="Liberation Serif"/>
          <w:color w:val="000000"/>
          <w:sz w:val="40"/>
        </w:rPr>
      </w:r>
    </w:p>
    <w:p>
      <w:pPr>
        <w:pStyle w:val="1"/>
        <w:numPr>
          <w:ilvl w:val="0"/>
          <w:numId w:val="2"/>
        </w:numPr>
        <w:rPr/>
      </w:pPr>
      <w:r>
        <w:rPr>
          <w:rFonts w:cs="Liberation Serif" w:ascii="Liberation Serif" w:hAnsi="Liberation Serif"/>
          <w:bCs w:val="false"/>
          <w:color w:val="000000"/>
          <w:sz w:val="32"/>
          <w:szCs w:val="32"/>
        </w:rPr>
        <w:t>П Р И К А З</w:t>
      </w:r>
    </w:p>
    <w:p>
      <w:pPr>
        <w:pStyle w:val="Normal"/>
        <w:rPr>
          <w:rFonts w:ascii="Liberation Serif" w:hAnsi="Liberation Serif" w:cs="Liberation Serif"/>
          <w:color w:val="000000"/>
          <w:sz w:val="20"/>
        </w:rPr>
      </w:pPr>
      <w:r>
        <w:rPr>
          <w:rFonts w:cs="Liberation Serif" w:ascii="Liberation Serif" w:hAnsi="Liberation Serif"/>
          <w:color w:val="000000"/>
          <w:sz w:val="20"/>
        </w:rPr>
      </w:r>
    </w:p>
    <w:p>
      <w:pPr>
        <w:pStyle w:val="Normal"/>
        <w:rPr>
          <w:rFonts w:ascii="Liberation Serif" w:hAnsi="Liberation Serif" w:cs="Liberation Serif"/>
          <w:color w:val="000000"/>
          <w:sz w:val="20"/>
        </w:rPr>
      </w:pPr>
      <w:r>
        <w:rPr>
          <w:rFonts w:cs="Liberation Serif" w:ascii="Liberation Serif" w:hAnsi="Liberation Serif"/>
          <w:color w:val="000000"/>
          <w:sz w:val="20"/>
        </w:rPr>
      </w:r>
    </w:p>
    <w:p>
      <w:pPr>
        <w:pStyle w:val="Normal"/>
        <w:rPr>
          <w:rFonts w:ascii="Liberation Serif" w:hAnsi="Liberation Serif" w:cs="Liberation Serif"/>
          <w:color w:val="000000"/>
          <w:sz w:val="20"/>
        </w:rPr>
      </w:pPr>
      <w:r>
        <w:rPr>
          <w:rFonts w:cs="Liberation Serif" w:ascii="Liberation Serif" w:hAnsi="Liberation Serif"/>
          <w:color w:val="000000"/>
          <w:sz w:val="20"/>
        </w:rPr>
      </w:r>
    </w:p>
    <w:p>
      <w:pPr>
        <w:pStyle w:val="Normal"/>
        <w:ind w:left="432" w:hanging="0"/>
        <w:rPr/>
      </w:pPr>
      <w:r>
        <w:rPr>
          <w:rFonts w:eastAsia="Liberation Serif" w:cs="Liberation Serif" w:ascii="Liberation Serif" w:hAnsi="Liberation Serif"/>
          <w:color w:val="000000"/>
        </w:rPr>
        <w:t>09.01.2023</w:t>
      </w:r>
      <w:r>
        <w:rPr>
          <w:rFonts w:eastAsia="Liberation Serif" w:cs="Liberation Serif" w:ascii="Liberation Serif" w:hAnsi="Liberation Serif"/>
          <w:color w:val="000000"/>
          <w:sz w:val="22"/>
          <w:szCs w:val="22"/>
        </w:rPr>
        <w:t xml:space="preserve">               </w:t>
      </w:r>
      <w:r>
        <w:rPr>
          <w:rFonts w:eastAsia="Liberation Serif" w:cs="Liberation Serif" w:ascii="Liberation Serif" w:hAnsi="Liberation Serif"/>
          <w:color w:val="000000"/>
          <w:sz w:val="20"/>
        </w:rPr>
        <w:t xml:space="preserve">                    </w:t>
      </w:r>
      <w:r>
        <w:rPr>
          <w:rFonts w:cs="Liberation Serif" w:ascii="Liberation Serif" w:hAnsi="Liberation Serif"/>
          <w:color w:val="000000"/>
        </w:rPr>
        <w:t>№</w:t>
      </w:r>
      <w:r>
        <w:rPr>
          <w:rFonts w:eastAsia="Liberation Serif" w:cs="Liberation Serif" w:ascii="Liberation Serif" w:hAnsi="Liberation Serif"/>
          <w:color w:val="000000"/>
        </w:rPr>
        <w:t xml:space="preserve">   32</w:t>
      </w:r>
      <w:r>
        <w:rPr>
          <w:rFonts w:eastAsia="Liberation Serif" w:cs="Liberation Serif" w:ascii="Liberation Serif" w:hAnsi="Liberation Serif"/>
          <w:color w:val="000000"/>
          <w:sz w:val="20"/>
        </w:rPr>
        <w:t xml:space="preserve"> </w:t>
      </w:r>
    </w:p>
    <w:p>
      <w:pPr>
        <w:pStyle w:val="Style17"/>
        <w:rPr/>
      </w:pPr>
      <w:r>
        <mc:AlternateContent>
          <mc:Choice Requires="wps">
            <w:drawing>
              <wp:anchor behindDoc="0" distT="5715" distB="13335" distL="6350" distR="12700" simplePos="0" locked="0" layoutInCell="0" allowOverlap="1" relativeHeight="2">
                <wp:simplePos x="0" y="0"/>
                <wp:positionH relativeFrom="column">
                  <wp:posOffset>-45085</wp:posOffset>
                </wp:positionH>
                <wp:positionV relativeFrom="paragraph">
                  <wp:posOffset>4445</wp:posOffset>
                </wp:positionV>
                <wp:extent cx="1524000" cy="635"/>
                <wp:effectExtent l="5080" t="5080" r="5080" b="508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55pt,0.35pt" to="116.4pt,0.35pt" ID="Прямая соединительная линия 2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12065" distL="6350" distR="8255" simplePos="0" locked="0" layoutInCell="0" allowOverlap="1" relativeHeight="3">
                <wp:simplePos x="0" y="0"/>
                <wp:positionH relativeFrom="column">
                  <wp:posOffset>1859915</wp:posOffset>
                </wp:positionH>
                <wp:positionV relativeFrom="paragraph">
                  <wp:posOffset>15240</wp:posOffset>
                </wp:positionV>
                <wp:extent cx="728345" cy="635"/>
                <wp:effectExtent l="5080" t="5080" r="5080" b="508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6.45pt,1.2pt" to="203.75pt,1.2pt" ID="Прямая соединительная линия 1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eastAsia="Liberation Serif" w:cs="Liberation Serif" w:ascii="Liberation Serif" w:hAnsi="Liberation Serif"/>
          <w:color w:val="000000"/>
          <w:sz w:val="10"/>
        </w:rPr>
        <w:t xml:space="preserve">                                                          </w:t>
      </w:r>
    </w:p>
    <w:p>
      <w:pPr>
        <w:pStyle w:val="Style17"/>
        <w:rPr>
          <w:sz w:val="24"/>
        </w:rPr>
      </w:pPr>
      <w:r>
        <w:rPr>
          <w:rFonts w:eastAsia="Liberation Serif" w:cs="Liberation Serif" w:ascii="Liberation Serif" w:hAnsi="Liberation Serif"/>
          <w:color w:val="000000"/>
          <w:w w:val="100"/>
          <w:sz w:val="24"/>
        </w:rPr>
        <w:t xml:space="preserve">                              </w:t>
      </w:r>
      <w:r>
        <w:rPr>
          <w:rFonts w:cs="Liberation Serif" w:ascii="Liberation Serif" w:hAnsi="Liberation Serif"/>
          <w:color w:val="000000"/>
          <w:w w:val="100"/>
          <w:sz w:val="24"/>
        </w:rPr>
        <w:t xml:space="preserve">г. Грязовец  </w:t>
      </w:r>
    </w:p>
    <w:p>
      <w:pPr>
        <w:pStyle w:val="Style17"/>
        <w:rPr>
          <w:rFonts w:ascii="Liberation Serif" w:hAnsi="Liberation Serif" w:cs="Liberation Serif"/>
          <w:color w:val="000000"/>
          <w:w w:val="100"/>
        </w:rPr>
      </w:pPr>
      <w:r>
        <w:rPr>
          <w:rFonts w:cs="Liberation Serif" w:ascii="Liberation Serif" w:hAnsi="Liberation Serif"/>
          <w:color w:val="000000"/>
          <w:w w:val="100"/>
        </w:rPr>
      </w:r>
    </w:p>
    <w:p>
      <w:pPr>
        <w:pStyle w:val="Style17"/>
        <w:rPr>
          <w:rFonts w:ascii="Liberation Serif" w:hAnsi="Liberation Serif" w:cs="Liberation Serif"/>
          <w:color w:val="000000"/>
          <w:w w:val="100"/>
        </w:rPr>
      </w:pPr>
      <w:r>
        <w:rPr>
          <w:rFonts w:cs="Liberation Serif" w:ascii="Liberation Serif" w:hAnsi="Liberation Serif"/>
          <w:color w:val="000000"/>
          <w:w w:val="100"/>
        </w:rPr>
      </w:r>
    </w:p>
    <w:tbl>
      <w:tblPr>
        <w:tblW w:w="97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67"/>
        <w:gridCol w:w="4786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 закреплении территорий за общеобразовательными учреждениями Грязовецкого  муниципального округа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</w:tr>
    </w:tbl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>В соответствии с п.3  ст.67 Федерального закона Российской Федерации от 29.12.2012 года № 273-ФЗ «Об образовании в Российской Федерации», приказом Министерства Просвещения Российской Федерации от 08.10.2021 года № 707 « 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(с последующими изменениями)</w:t>
      </w:r>
    </w:p>
    <w:p>
      <w:pPr>
        <w:pStyle w:val="Normal"/>
        <w:jc w:val="both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ПРИКАЗЫВАЮ:</w:t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Закрепить за общеобразовательными учреждениями Грязовецкого муниципального </w:t>
      </w:r>
      <w:r>
        <w:rPr>
          <w:sz w:val="26"/>
          <w:szCs w:val="26"/>
          <w:lang w:eastAsia="ru-RU"/>
        </w:rPr>
        <w:t>округа</w:t>
      </w:r>
      <w:r>
        <w:rPr>
          <w:sz w:val="26"/>
          <w:szCs w:val="26"/>
          <w:lang w:eastAsia="ru-RU"/>
        </w:rPr>
        <w:t xml:space="preserve"> территории, с которых обеспечивается прием  на обучение проживающих на них граждан, имеющих право на получение общего образования (Приложение).</w:t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Настоящий приказ подлежит опубликованию на сайте Управления образования </w:t>
      </w:r>
      <w:r>
        <w:rPr>
          <w:sz w:val="26"/>
          <w:szCs w:val="26"/>
          <w:lang w:eastAsia="ru-RU"/>
        </w:rPr>
        <w:t>и молодежной политики</w:t>
      </w:r>
      <w:r>
        <w:rPr>
          <w:sz w:val="26"/>
          <w:szCs w:val="26"/>
          <w:lang w:eastAsia="ru-RU"/>
        </w:rPr>
        <w:t>.</w:t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Контроль за исполнением настоящего приказа возложить на заместителя начальника Управления образования </w:t>
      </w:r>
      <w:r>
        <w:rPr>
          <w:sz w:val="26"/>
          <w:szCs w:val="26"/>
          <w:lang w:eastAsia="ru-RU"/>
        </w:rPr>
        <w:t xml:space="preserve">и молодежной политики </w:t>
      </w:r>
      <w:r>
        <w:rPr>
          <w:sz w:val="26"/>
          <w:szCs w:val="26"/>
          <w:lang w:eastAsia="ru-RU"/>
        </w:rPr>
        <w:t>И.Н. Зубкову.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Liberation Serif" w:hAnsi="Liberation Serif" w:cs="Liberation Serif"/>
          <w:b/>
          <w:b/>
          <w:color w:val="000000"/>
          <w:sz w:val="26"/>
          <w:szCs w:val="26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color w:val="000000"/>
          <w:sz w:val="26"/>
          <w:szCs w:val="26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</w:rPr>
      </w:r>
    </w:p>
    <w:tbl>
      <w:tblPr>
        <w:tblW w:w="106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503"/>
        <w:gridCol w:w="2835"/>
        <w:gridCol w:w="3271"/>
      </w:tblGrid>
      <w:tr>
        <w:trPr>
          <w:trHeight w:val="905" w:hRule="atLeast"/>
        </w:trPr>
        <w:tc>
          <w:tcPr>
            <w:tcW w:w="450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Начальник Управления образования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и молодежной  политики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drawing>
                <wp:inline distT="0" distB="0" distL="0" distR="0">
                  <wp:extent cx="1097280" cy="579755"/>
                  <wp:effectExtent l="0" t="0" r="0" b="0"/>
                  <wp:docPr id="4" name="Рисунок 2" descr="Сканировать1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Сканировать1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Т.А.Патракеева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Приложение к приказу Управления образования </w:t>
            </w:r>
            <w:r>
              <w:rPr>
                <w:sz w:val="22"/>
                <w:szCs w:val="22"/>
                <w:lang w:eastAsia="ru-RU"/>
              </w:rPr>
              <w:t>и молодежной политики</w:t>
            </w:r>
            <w:r>
              <w:rPr>
                <w:sz w:val="22"/>
                <w:szCs w:val="22"/>
                <w:lang w:eastAsia="ru-RU"/>
              </w:rPr>
              <w:t xml:space="preserve"> № 32 от 09.01.2023 «О закреплении территорий за общеобразовательными учреждениями Грязовецкого  муниципального округа»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Список территорий, </w:t>
      </w:r>
    </w:p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закрепленных за общеобразовательными учреждениями </w:t>
      </w:r>
    </w:p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Грязовецкого муниципального округа</w:t>
      </w:r>
      <w:bookmarkStart w:id="0" w:name="_GoBack"/>
      <w:bookmarkEnd w:id="0"/>
      <w:r>
        <w:rPr>
          <w:sz w:val="22"/>
          <w:szCs w:val="22"/>
          <w:lang w:eastAsia="ru-RU"/>
        </w:rPr>
        <w:t>, для приема на обучение по общеобразовательным программам общего образования</w:t>
      </w:r>
    </w:p>
    <w:p>
      <w:pPr>
        <w:pStyle w:val="Normal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0636" w:type="dxa"/>
        <w:jc w:val="left"/>
        <w:tblInd w:w="-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8"/>
        <w:gridCol w:w="1844"/>
        <w:gridCol w:w="2693"/>
        <w:gridCol w:w="2829"/>
        <w:gridCol w:w="7"/>
        <w:gridCol w:w="2835"/>
      </w:tblGrid>
      <w:tr>
        <w:trPr>
          <w:trHeight w:val="340" w:hRule="atLeast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Территории, с которых обеспечивается прием граждан на ступени обучения</w:t>
            </w:r>
          </w:p>
        </w:tc>
      </w:tr>
      <w:tr>
        <w:trPr>
          <w:trHeight w:val="280" w:hRule="atLeast"/>
        </w:trPr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ступень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«Средняя школа № 1 г.Грязовца»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 (д. 34-66(четная сторона), 43-67 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55-121(нечетная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57 - 75(нечетная сторона),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сторона), 43-67(нечетная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 55-121(нечетная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8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57 - 75(нечетная сторона),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сторона), 43-67(нечетная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 55-121(нечетная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9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0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57 - 75, (нечетная сторона)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Абанино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Боброво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Дворец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Заемье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Звягино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Кебас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Кромино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Мышкино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Осомово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Половоз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Талица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Филино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Юношеское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Аносово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Ельник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Кастиха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Плоское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Полянка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Чупрово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 Аркатово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Иевлево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Козлово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«Средняя школа № 2 г.Грязовца»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1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12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3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  <w:r>
              <w:rPr>
                <w:sz w:val="22"/>
                <w:szCs w:val="22"/>
                <w:lang w:eastAsia="ru-RU"/>
              </w:rPr>
              <w:t xml:space="preserve"> (1-135)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14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5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  <w:r>
              <w:rPr>
                <w:sz w:val="22"/>
                <w:szCs w:val="22"/>
                <w:lang w:eastAsia="ru-RU"/>
              </w:rPr>
              <w:t xml:space="preserve"> (1-109)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3-53, 2-52(четная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1-41(нечетная сторона), 2-30(четная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Калиновая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6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7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8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9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20">
              <w:r>
                <w:rPr>
                  <w:sz w:val="22"/>
                  <w:szCs w:val="22"/>
                  <w:lang w:eastAsia="ru-RU"/>
                </w:rPr>
                <w:t xml:space="preserve"> </w:t>
              </w:r>
              <w:r>
                <w:rPr>
                  <w:sz w:val="22"/>
                  <w:szCs w:val="22"/>
                  <w:lang w:eastAsia="ru-RU"/>
                </w:rPr>
                <w:t>Обнорского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1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2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3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1-29(нечетная сторона), 4-28(четная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1-37, 4-34(четная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24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5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6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7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8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9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0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1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2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33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4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35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6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3-53(нечетная сторона), 2-52(четная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1-41, 2-30(четная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Калиновая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7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8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9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0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41">
              <w:r>
                <w:rPr>
                  <w:sz w:val="22"/>
                  <w:szCs w:val="22"/>
                  <w:lang w:eastAsia="ru-RU"/>
                </w:rPr>
                <w:t xml:space="preserve"> </w:t>
              </w:r>
              <w:r>
                <w:rPr>
                  <w:sz w:val="22"/>
                  <w:szCs w:val="22"/>
                  <w:lang w:eastAsia="ru-RU"/>
                </w:rPr>
                <w:t>Обнорского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2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3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4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1-29, 4-28(четная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1-37(нечетная сторона), 4-34(четная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45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6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7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8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9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0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1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2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3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54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5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56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7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3-53(нечетная сторона), 2-52(четная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1-41, 2-30(четная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Калиновая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8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9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0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1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62">
              <w:r>
                <w:rPr>
                  <w:sz w:val="22"/>
                  <w:szCs w:val="22"/>
                  <w:lang w:eastAsia="ru-RU"/>
                </w:rPr>
                <w:t xml:space="preserve"> </w:t>
              </w:r>
              <w:r>
                <w:rPr>
                  <w:sz w:val="22"/>
                  <w:szCs w:val="22"/>
                  <w:lang w:eastAsia="ru-RU"/>
                </w:rPr>
                <w:t>Обнорского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3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4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5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1-29, 4-28(четная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1-37, (нечетная сторона) 4-34(четная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66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7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8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9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0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1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2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3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Ванчино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Горицы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Ивонино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Кельино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Нешарово (древня)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Раменье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Рындино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Савино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Сидорово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Цепелка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Лежа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Майский(поселок)</w:t>
              <w:br/>
              <w:t>Павловское(деревня)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Сеньга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Слудки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Яфаново (деревня) 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Ежово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«Вохтожская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Вострогский (поселок)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Вострогский (поселок)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 Вострогский (поселок)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«Комьянская 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Аграфенка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Ананкино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Андрейково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Аннинское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Арефино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Берендеево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Брагино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Брянцево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Быково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Воронино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Евдокимово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Евсюково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Косарово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Кузнецово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Курапово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Лучинино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Новое-на-Комье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Новое-на-Лухте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Огарково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Пальцево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Патракеево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Подсосенье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Прокунино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Семенково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Семернино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Силифоново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ст.Бушуиха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ст.Стеблево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ст.Туфаново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Стеблево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Суворово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Тимонино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Туфаново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Федорково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Федяйкино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Хвастово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Хорошево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Чагрино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Шепяково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Барское-Сырищево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Боброво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Богослово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Ведерково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Великорецкий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Вознесенье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Вольное-Сырищево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Воскресенское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Зимняк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Киселево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Кликуново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Надорожный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Нехотово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Низовка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Обериха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Полушкино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Притыкино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Рябиновка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Сережино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Сычево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Щекутьево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Аграфенка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Ананкино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Андрейково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Аннинское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Арефино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Берендеево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Брагино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Брянцево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Быково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Воронино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Евдокимово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Евсюково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Косарово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Кузнецово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Курапово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Лучинино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Новое-на-Комье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Новое-на-Лухте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Огарково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Пальцево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Патракеево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Подсосенье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Прокунино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Семенково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Семернино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Силифоново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ст.Бушуиха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ст.Стеблево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ст.Туфаново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Стеблево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Суворово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Тимонино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Туфаново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Федорково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Федяйкино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Хвастово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Хорошево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Чагрино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Шепяково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Барское-Сырищево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Боброво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Богослово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Ведерково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Великорецкий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Вознесенье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Вольное-Сырищево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Воскресенское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Зимняк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Киселево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Кликуново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Надорожный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Нехотово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Низовка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Обериха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Полушкино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Притыкино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Рябиновка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Сережино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Сычево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Щекутьево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«Слободская школа им. Г.Н. Пономарева»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«Ростиловская школа»,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«Плосковская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Абанино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Боброво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Дворец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Заемье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Звягино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Кебас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Кромино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Мышкино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Осомово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Половоз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Талица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Филино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Юношеское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Аносово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Ельник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Кастиха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Плоское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Полянка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Чупрово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Абанино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Боброво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Дворец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Заемье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Звягино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Кебас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Кромино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Мышкино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Осомово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Половоз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Талица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Филино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Юношеское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Аносово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Ельник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Кастиха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Плоское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Полянка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Чупрово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«Вараксинская школа»,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«Плосковская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Аркатово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Иевлево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Козлово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Аркатово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Иевлево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Козлово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«Юровский центр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02" w:leader="none"/>
              </w:tabs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«Сидоровская основная общеобразовательная школа», СП «Баклановская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Ванчино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Горицы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Ивонино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Кельино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Нешарово (древня)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Раменье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Рындино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Савино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Сидорово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Цепелка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Лежа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Майский(поселок)</w:t>
              <w:br/>
              <w:t>Павловское(деревня)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Сеньга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Слудки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Яфаново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Ванчино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Горицы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Ивонино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Кельино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Нешарово (древня)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Раменье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Рындино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Савино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Сидорово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Цепелка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Лежа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Майский(поселок)</w:t>
              <w:br/>
              <w:t>Павловское(деревня)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Сеньга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Слудки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Яфаново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02" w:leader="none"/>
              </w:tabs>
              <w:spacing w:lineRule="auto" w:line="276" w:before="0" w:after="200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«Сидоровская основная общеобразовательная школа»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02" w:leader="none"/>
              </w:tabs>
              <w:spacing w:lineRule="auto" w:line="276" w:before="0" w:after="200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«Лежская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Ежово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Ежово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c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link w:val="11"/>
    <w:qFormat/>
    <w:rsid w:val="00bc2c70"/>
    <w:pPr>
      <w:keepNext w:val="true"/>
      <w:numPr>
        <w:ilvl w:val="0"/>
        <w:numId w:val="2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Normal"/>
    <w:next w:val="Normal"/>
    <w:link w:val="21"/>
    <w:semiHidden/>
    <w:unhideWhenUsed/>
    <w:qFormat/>
    <w:rsid w:val="009707b1"/>
    <w:pPr>
      <w:keepNext w:val="true"/>
      <w:outlineLvl w:val="1"/>
    </w:pPr>
    <w:rPr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bc2c70"/>
    <w:rPr>
      <w:rFonts w:ascii="Times New Roman" w:hAnsi="Times New Roman" w:eastAsia="Times New Roman" w:cs="Times New Roman"/>
      <w:b/>
      <w:bCs/>
      <w:w w:val="90"/>
      <w:sz w:val="36"/>
      <w:szCs w:val="24"/>
      <w:lang w:eastAsia="zh-CN"/>
    </w:rPr>
  </w:style>
  <w:style w:type="character" w:styleId="Style12" w:customStyle="1">
    <w:name w:val="Основной текст Знак"/>
    <w:basedOn w:val="DefaultParagraphFont"/>
    <w:qFormat/>
    <w:rsid w:val="00bc2c70"/>
    <w:rPr>
      <w:rFonts w:ascii="Times New Roman" w:hAnsi="Times New Roman" w:eastAsia="Times New Roman" w:cs="Times New Roman"/>
      <w:w w:val="90"/>
      <w:sz w:val="18"/>
      <w:szCs w:val="24"/>
      <w:lang w:eastAsia="zh-CN"/>
    </w:rPr>
  </w:style>
  <w:style w:type="character" w:styleId="Style13" w:customStyle="1">
    <w:name w:val="Текст выноски Знак"/>
    <w:basedOn w:val="DefaultParagraphFont"/>
    <w:link w:val="BalloonText"/>
    <w:semiHidden/>
    <w:qFormat/>
    <w:rsid w:val="00412c55"/>
    <w:rPr>
      <w:rFonts w:ascii="Tahoma" w:hAnsi="Tahoma" w:eastAsia="Times New Roman" w:cs="Tahoma"/>
      <w:sz w:val="16"/>
      <w:szCs w:val="16"/>
      <w:lang w:eastAsia="zh-CN"/>
    </w:rPr>
  </w:style>
  <w:style w:type="character" w:styleId="21" w:customStyle="1">
    <w:name w:val="Заголовок 2 Знак"/>
    <w:basedOn w:val="DefaultParagraphFont"/>
    <w:semiHidden/>
    <w:qFormat/>
    <w:rsid w:val="009707b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Нижний колонтитул Знак"/>
    <w:basedOn w:val="DefaultParagraphFont"/>
    <w:semiHidden/>
    <w:qFormat/>
    <w:rsid w:val="009707b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link w:val="Style12"/>
    <w:rsid w:val="00bc2c70"/>
    <w:pPr>
      <w:tabs>
        <w:tab w:val="clear" w:pos="708"/>
        <w:tab w:val="left" w:pos="9712" w:leader="none"/>
      </w:tabs>
    </w:pPr>
    <w:rPr>
      <w:w w:val="90"/>
      <w:sz w:val="18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 w:customStyle="1">
    <w:name w:val="Содержимое таблицы"/>
    <w:basedOn w:val="Normal"/>
    <w:qFormat/>
    <w:rsid w:val="00bc2c70"/>
    <w:pPr>
      <w:suppressLineNumbers/>
    </w:pPr>
    <w:rPr/>
  </w:style>
  <w:style w:type="paragraph" w:styleId="BalloonText">
    <w:name w:val="Balloon Text"/>
    <w:basedOn w:val="Normal"/>
    <w:link w:val="Style13"/>
    <w:semiHidden/>
    <w:unhideWhenUsed/>
    <w:qFormat/>
    <w:rsid w:val="00412c5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9707b1"/>
    <w:pPr>
      <w:spacing w:beforeAutospacing="1" w:after="119"/>
    </w:pPr>
    <w:rPr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link w:val="Style14"/>
    <w:semiHidden/>
    <w:unhideWhenUsed/>
    <w:rsid w:val="009707b1"/>
    <w:pPr>
      <w:tabs>
        <w:tab w:val="clear" w:pos="708"/>
        <w:tab w:val="center" w:pos="4677" w:leader="none"/>
        <w:tab w:val="right" w:pos="9355" w:leader="none"/>
      </w:tabs>
    </w:pPr>
    <w:rPr>
      <w:lang w:eastAsia="ru-RU"/>
    </w:rPr>
  </w:style>
  <w:style w:type="paragraph" w:styleId="Standard" w:customStyle="1">
    <w:name w:val="Standard"/>
    <w:qFormat/>
    <w:rsid w:val="009707b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9707b1"/>
  </w:style>
  <w:style w:type="numbering" w:styleId="111" w:customStyle="1">
    <w:name w:val="Нет списка11"/>
    <w:uiPriority w:val="99"/>
    <w:semiHidden/>
    <w:unhideWhenUsed/>
    <w:qFormat/>
    <w:rsid w:val="009707b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707b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hyperlink" Target="https://mapdata.ru/vologodskaya-oblast/gryazoveckiy-rayon/gryazovec/zeleniy-pereulok/" TargetMode="External"/><Relationship Id="rId6" Type="http://schemas.openxmlformats.org/officeDocument/2006/relationships/hyperlink" Target="https://mapdata.ru/vologodskaya-oblast/gryazoveckiy-rayon/gryazovec/kedroviy-pereulok/" TargetMode="External"/><Relationship Id="rId7" Type="http://schemas.openxmlformats.org/officeDocument/2006/relationships/hyperlink" Target="https://mapdata.ru/vologodskaya-oblast/gryazoveckiy-rayon/gryazovec/zeleniy-pereulok/" TargetMode="External"/><Relationship Id="rId8" Type="http://schemas.openxmlformats.org/officeDocument/2006/relationships/hyperlink" Target="https://mapdata.ru/vologodskaya-oblast/gryazoveckiy-rayon/gryazovec/kedroviy-pereulok/" TargetMode="External"/><Relationship Id="rId9" Type="http://schemas.openxmlformats.org/officeDocument/2006/relationships/hyperlink" Target="https://mapdata.ru/vologodskaya-oblast/gryazoveckiy-rayon/gryazovec/zeleniy-pereulok/" TargetMode="External"/><Relationship Id="rId10" Type="http://schemas.openxmlformats.org/officeDocument/2006/relationships/hyperlink" Target="https://mapdata.ru/vologodskaya-oblast/gryazoveckiy-rayon/gryazovec/kedroviy-pereulok/" TargetMode="External"/><Relationship Id="rId11" Type="http://schemas.openxmlformats.org/officeDocument/2006/relationships/hyperlink" Target="https://mapdata.ru/vologodskaya-oblast/gryazoveckiy-rayon/gryazovec/ulica-druzhbi/" TargetMode="External"/><Relationship Id="rId12" Type="http://schemas.openxmlformats.org/officeDocument/2006/relationships/hyperlink" Target="https://mapdata.ru/vologodskaya-oblast/gryazoveckiy-rayon/gryazovec/zavodskaya-ulica/" TargetMode="External"/><Relationship Id="rId13" Type="http://schemas.openxmlformats.org/officeDocument/2006/relationships/hyperlink" Target="https://mapdata.ru/vologodskaya-oblast/gryazoveckiy-rayon/gryazovec/ulica-volodarskogo/" TargetMode="External"/><Relationship Id="rId14" Type="http://schemas.openxmlformats.org/officeDocument/2006/relationships/hyperlink" Target="https://mapdata.ru/vologodskaya-oblast/gryazoveckiy-rayon/gryazovec/vostochniy-pereulok/" TargetMode="External"/><Relationship Id="rId15" Type="http://schemas.openxmlformats.org/officeDocument/2006/relationships/hyperlink" Target="https://mapdata.ru/vologodskaya-oblast/gryazoveckiy-rayon/gryazovec/ulica-gagarina/" TargetMode="External"/><Relationship Id="rId16" Type="http://schemas.openxmlformats.org/officeDocument/2006/relationships/hyperlink" Target="https://mapdata.ru/vologodskaya-oblast/gryazoveckiy-rayon/gryazovec/ulica-mayakovskogo/" TargetMode="External"/><Relationship Id="rId17" Type="http://schemas.openxmlformats.org/officeDocument/2006/relationships/hyperlink" Target="https://mapdata.ru/vologodskaya-oblast/gryazoveckiy-rayon/gryazovec/ulica-mira/" TargetMode="External"/><Relationship Id="rId18" Type="http://schemas.openxmlformats.org/officeDocument/2006/relationships/hyperlink" Target="https://mapdata.ru/vologodskaya-oblast/gryazoveckiy-rayon/gryazovec/novaya-ulica/" TargetMode="External"/><Relationship Id="rId19" Type="http://schemas.openxmlformats.org/officeDocument/2006/relationships/hyperlink" Target="https://mapdata.ru/vologodskaya-oblast/gryazoveckiy-rayon/gryazovec/noviy-pereulok/" TargetMode="External"/><Relationship Id="rId20" Type="http://schemas.openxmlformats.org/officeDocument/2006/relationships/hyperlink" Target="https://mapdata.ru/vologodskaya-oblast/gryazoveckiy-rayon/gryazovec/ulica-obnorskogo/" TargetMode="External"/><Relationship Id="rId21" Type="http://schemas.openxmlformats.org/officeDocument/2006/relationships/hyperlink" Target="https://mapdata.ru/vologodskaya-oblast/gryazoveckiy-rayon/gryazovec/ulica-pobedi/" TargetMode="External"/><Relationship Id="rId22" Type="http://schemas.openxmlformats.org/officeDocument/2006/relationships/hyperlink" Target="https://mapdata.ru/vologodskaya-oblast/gryazoveckiy-rayon/gryazovec/polevaya-ulica/" TargetMode="External"/><Relationship Id="rId23" Type="http://schemas.openxmlformats.org/officeDocument/2006/relationships/hyperlink" Target="https://mapdata.ru/vologodskaya-oblast/gryazoveckiy-rayon/gryazovec/privokzalnaya-ulica/" TargetMode="External"/><Relationship Id="rId24" Type="http://schemas.openxmlformats.org/officeDocument/2006/relationships/hyperlink" Target="https://mapdata.ru/vologodskaya-oblast/gryazoveckiy-rayon/gryazovec/prigorodniy-pereulok/" TargetMode="External"/><Relationship Id="rId25" Type="http://schemas.openxmlformats.org/officeDocument/2006/relationships/hyperlink" Target="https://mapdata.ru/vologodskaya-oblast/gryazoveckiy-rayon/gryazovec/ulica-chernishevskogo/" TargetMode="External"/><Relationship Id="rId26" Type="http://schemas.openxmlformats.org/officeDocument/2006/relationships/hyperlink" Target="https://mapdata.ru/vologodskaya-oblast/gryazoveckiy-rayon/gryazovec/yubileynaya-ulica/" TargetMode="External"/><Relationship Id="rId27" Type="http://schemas.openxmlformats.org/officeDocument/2006/relationships/hyperlink" Target="https://mapdata.ru/vologodskaya-oblast/gryazoveckiy-rayon/gryazovec/yuzhniy-pereulok/" TargetMode="External"/><Relationship Id="rId28" Type="http://schemas.openxmlformats.org/officeDocument/2006/relationships/hyperlink" Target="https://mapdata.ru/vologodskaya-oblast/gryazoveckiy-rayon/gryazovec/1-y-severniy-pereulok/" TargetMode="External"/><Relationship Id="rId29" Type="http://schemas.openxmlformats.org/officeDocument/2006/relationships/hyperlink" Target="https://mapdata.ru/vologodskaya-oblast/gryazoveckiy-rayon/gryazovec/1-ya-zavokzalnaya-ulica/" TargetMode="External"/><Relationship Id="rId30" Type="http://schemas.openxmlformats.org/officeDocument/2006/relationships/hyperlink" Target="https://mapdata.ru/vologodskaya-oblast/gryazoveckiy-rayon/gryazovec/2-y-severniy-pereulok/" TargetMode="External"/><Relationship Id="rId31" Type="http://schemas.openxmlformats.org/officeDocument/2006/relationships/hyperlink" Target="https://mapdata.ru/vologodskaya-oblast/gryazoveckiy-rayon/gryazovec/2-ya-zavokzalnaya-ulica/" TargetMode="External"/><Relationship Id="rId32" Type="http://schemas.openxmlformats.org/officeDocument/2006/relationships/hyperlink" Target="https://mapdata.ru/vologodskaya-oblast/gryazoveckiy-rayon/gryazovec/ulica-druzhbi/" TargetMode="External"/><Relationship Id="rId33" Type="http://schemas.openxmlformats.org/officeDocument/2006/relationships/hyperlink" Target="https://mapdata.ru/vologodskaya-oblast/gryazoveckiy-rayon/gryazovec/zavodskaya-ulica/" TargetMode="External"/><Relationship Id="rId34" Type="http://schemas.openxmlformats.org/officeDocument/2006/relationships/hyperlink" Target="https://mapdata.ru/vologodskaya-oblast/gryazoveckiy-rayon/gryazovec/ulica-volodarskogo/" TargetMode="External"/><Relationship Id="rId35" Type="http://schemas.openxmlformats.org/officeDocument/2006/relationships/hyperlink" Target="https://mapdata.ru/vologodskaya-oblast/gryazoveckiy-rayon/gryazovec/vostochniy-pereulok/" TargetMode="External"/><Relationship Id="rId36" Type="http://schemas.openxmlformats.org/officeDocument/2006/relationships/hyperlink" Target="https://mapdata.ru/vologodskaya-oblast/gryazoveckiy-rayon/gryazovec/ulica-gagarina/" TargetMode="External"/><Relationship Id="rId37" Type="http://schemas.openxmlformats.org/officeDocument/2006/relationships/hyperlink" Target="https://mapdata.ru/vologodskaya-oblast/gryazoveckiy-rayon/gryazovec/ulica-mayakovskogo/" TargetMode="External"/><Relationship Id="rId38" Type="http://schemas.openxmlformats.org/officeDocument/2006/relationships/hyperlink" Target="https://mapdata.ru/vologodskaya-oblast/gryazoveckiy-rayon/gryazovec/ulica-mira/" TargetMode="External"/><Relationship Id="rId39" Type="http://schemas.openxmlformats.org/officeDocument/2006/relationships/hyperlink" Target="https://mapdata.ru/vologodskaya-oblast/gryazoveckiy-rayon/gryazovec/novaya-ulica/" TargetMode="External"/><Relationship Id="rId40" Type="http://schemas.openxmlformats.org/officeDocument/2006/relationships/hyperlink" Target="https://mapdata.ru/vologodskaya-oblast/gryazoveckiy-rayon/gryazovec/noviy-pereulok/" TargetMode="External"/><Relationship Id="rId41" Type="http://schemas.openxmlformats.org/officeDocument/2006/relationships/hyperlink" Target="https://mapdata.ru/vologodskaya-oblast/gryazoveckiy-rayon/gryazovec/ulica-obnorskogo/" TargetMode="External"/><Relationship Id="rId42" Type="http://schemas.openxmlformats.org/officeDocument/2006/relationships/hyperlink" Target="https://mapdata.ru/vologodskaya-oblast/gryazoveckiy-rayon/gryazovec/ulica-pobedi/" TargetMode="External"/><Relationship Id="rId43" Type="http://schemas.openxmlformats.org/officeDocument/2006/relationships/hyperlink" Target="https://mapdata.ru/vologodskaya-oblast/gryazoveckiy-rayon/gryazovec/polevaya-ulica/" TargetMode="External"/><Relationship Id="rId44" Type="http://schemas.openxmlformats.org/officeDocument/2006/relationships/hyperlink" Target="https://mapdata.ru/vologodskaya-oblast/gryazoveckiy-rayon/gryazovec/privokzalnaya-ulica/" TargetMode="External"/><Relationship Id="rId45" Type="http://schemas.openxmlformats.org/officeDocument/2006/relationships/hyperlink" Target="https://mapdata.ru/vologodskaya-oblast/gryazoveckiy-rayon/gryazovec/prigorodniy-pereulok/" TargetMode="External"/><Relationship Id="rId46" Type="http://schemas.openxmlformats.org/officeDocument/2006/relationships/hyperlink" Target="https://mapdata.ru/vologodskaya-oblast/gryazoveckiy-rayon/gryazovec/ulica-chernishevskogo/" TargetMode="External"/><Relationship Id="rId47" Type="http://schemas.openxmlformats.org/officeDocument/2006/relationships/hyperlink" Target="https://mapdata.ru/vologodskaya-oblast/gryazoveckiy-rayon/gryazovec/yubileynaya-ulica/" TargetMode="External"/><Relationship Id="rId48" Type="http://schemas.openxmlformats.org/officeDocument/2006/relationships/hyperlink" Target="https://mapdata.ru/vologodskaya-oblast/gryazoveckiy-rayon/gryazovec/yuzhniy-pereulok/" TargetMode="External"/><Relationship Id="rId49" Type="http://schemas.openxmlformats.org/officeDocument/2006/relationships/hyperlink" Target="https://mapdata.ru/vologodskaya-oblast/gryazoveckiy-rayon/gryazovec/1-y-severniy-pereulok/" TargetMode="External"/><Relationship Id="rId50" Type="http://schemas.openxmlformats.org/officeDocument/2006/relationships/hyperlink" Target="https://mapdata.ru/vologodskaya-oblast/gryazoveckiy-rayon/gryazovec/1-ya-zavokzalnaya-ulica/" TargetMode="External"/><Relationship Id="rId51" Type="http://schemas.openxmlformats.org/officeDocument/2006/relationships/hyperlink" Target="https://mapdata.ru/vologodskaya-oblast/gryazoveckiy-rayon/gryazovec/2-y-severniy-pereulok/" TargetMode="External"/><Relationship Id="rId52" Type="http://schemas.openxmlformats.org/officeDocument/2006/relationships/hyperlink" Target="https://mapdata.ru/vologodskaya-oblast/gryazoveckiy-rayon/gryazovec/2-ya-zavokzalnaya-ulica/" TargetMode="External"/><Relationship Id="rId53" Type="http://schemas.openxmlformats.org/officeDocument/2006/relationships/hyperlink" Target="https://mapdata.ru/vologodskaya-oblast/gryazoveckiy-rayon/gryazovec/ulica-druzhbi/" TargetMode="External"/><Relationship Id="rId54" Type="http://schemas.openxmlformats.org/officeDocument/2006/relationships/hyperlink" Target="https://mapdata.ru/vologodskaya-oblast/gryazoveckiy-rayon/gryazovec/zavodskaya-ulica/" TargetMode="External"/><Relationship Id="rId55" Type="http://schemas.openxmlformats.org/officeDocument/2006/relationships/hyperlink" Target="https://mapdata.ru/vologodskaya-oblast/gryazoveckiy-rayon/gryazovec/ulica-volodarskogo/" TargetMode="External"/><Relationship Id="rId56" Type="http://schemas.openxmlformats.org/officeDocument/2006/relationships/hyperlink" Target="https://mapdata.ru/vologodskaya-oblast/gryazoveckiy-rayon/gryazovec/vostochniy-pereulok/" TargetMode="External"/><Relationship Id="rId57" Type="http://schemas.openxmlformats.org/officeDocument/2006/relationships/hyperlink" Target="https://mapdata.ru/vologodskaya-oblast/gryazoveckiy-rayon/gryazovec/ulica-gagarina/" TargetMode="External"/><Relationship Id="rId58" Type="http://schemas.openxmlformats.org/officeDocument/2006/relationships/hyperlink" Target="https://mapdata.ru/vologodskaya-oblast/gryazoveckiy-rayon/gryazovec/ulica-mayakovskogo/" TargetMode="External"/><Relationship Id="rId59" Type="http://schemas.openxmlformats.org/officeDocument/2006/relationships/hyperlink" Target="https://mapdata.ru/vologodskaya-oblast/gryazoveckiy-rayon/gryazovec/ulica-mira/" TargetMode="External"/><Relationship Id="rId60" Type="http://schemas.openxmlformats.org/officeDocument/2006/relationships/hyperlink" Target="https://mapdata.ru/vologodskaya-oblast/gryazoveckiy-rayon/gryazovec/novaya-ulica/" TargetMode="External"/><Relationship Id="rId61" Type="http://schemas.openxmlformats.org/officeDocument/2006/relationships/hyperlink" Target="https://mapdata.ru/vologodskaya-oblast/gryazoveckiy-rayon/gryazovec/noviy-pereulok/" TargetMode="External"/><Relationship Id="rId62" Type="http://schemas.openxmlformats.org/officeDocument/2006/relationships/hyperlink" Target="https://mapdata.ru/vologodskaya-oblast/gryazoveckiy-rayon/gryazovec/ulica-obnorskogo/" TargetMode="External"/><Relationship Id="rId63" Type="http://schemas.openxmlformats.org/officeDocument/2006/relationships/hyperlink" Target="https://mapdata.ru/vologodskaya-oblast/gryazoveckiy-rayon/gryazovec/ulica-pobedi/" TargetMode="External"/><Relationship Id="rId64" Type="http://schemas.openxmlformats.org/officeDocument/2006/relationships/hyperlink" Target="https://mapdata.ru/vologodskaya-oblast/gryazoveckiy-rayon/gryazovec/polevaya-ulica/" TargetMode="External"/><Relationship Id="rId65" Type="http://schemas.openxmlformats.org/officeDocument/2006/relationships/hyperlink" Target="https://mapdata.ru/vologodskaya-oblast/gryazoveckiy-rayon/gryazovec/privokzalnaya-ulica/" TargetMode="External"/><Relationship Id="rId66" Type="http://schemas.openxmlformats.org/officeDocument/2006/relationships/hyperlink" Target="https://mapdata.ru/vologodskaya-oblast/gryazoveckiy-rayon/gryazovec/prigorodniy-pereulok/" TargetMode="External"/><Relationship Id="rId67" Type="http://schemas.openxmlformats.org/officeDocument/2006/relationships/hyperlink" Target="https://mapdata.ru/vologodskaya-oblast/gryazoveckiy-rayon/gryazovec/ulica-chernishevskogo/" TargetMode="External"/><Relationship Id="rId68" Type="http://schemas.openxmlformats.org/officeDocument/2006/relationships/hyperlink" Target="https://mapdata.ru/vologodskaya-oblast/gryazoveckiy-rayon/gryazovec/yubileynaya-ulica/" TargetMode="External"/><Relationship Id="rId69" Type="http://schemas.openxmlformats.org/officeDocument/2006/relationships/hyperlink" Target="https://mapdata.ru/vologodskaya-oblast/gryazoveckiy-rayon/gryazovec/yuzhniy-pereulok/" TargetMode="External"/><Relationship Id="rId70" Type="http://schemas.openxmlformats.org/officeDocument/2006/relationships/hyperlink" Target="https://mapdata.ru/vologodskaya-oblast/gryazoveckiy-rayon/gryazovec/1-y-severniy-pereulok/" TargetMode="External"/><Relationship Id="rId71" Type="http://schemas.openxmlformats.org/officeDocument/2006/relationships/hyperlink" Target="https://mapdata.ru/vologodskaya-oblast/gryazoveckiy-rayon/gryazovec/1-ya-zavokzalnaya-ulica/" TargetMode="External"/><Relationship Id="rId72" Type="http://schemas.openxmlformats.org/officeDocument/2006/relationships/hyperlink" Target="https://mapdata.ru/vologodskaya-oblast/gryazoveckiy-rayon/gryazovec/2-y-severniy-pereulok/" TargetMode="External"/><Relationship Id="rId73" Type="http://schemas.openxmlformats.org/officeDocument/2006/relationships/hyperlink" Target="https://mapdata.ru/vologodskaya-oblast/gryazoveckiy-rayon/gryazovec/2-ya-zavokzalnaya-ulica/" TargetMode="External"/><Relationship Id="rId74" Type="http://schemas.openxmlformats.org/officeDocument/2006/relationships/numbering" Target="numbering.xml"/><Relationship Id="rId75" Type="http://schemas.openxmlformats.org/officeDocument/2006/relationships/fontTable" Target="fontTable.xml"/><Relationship Id="rId76" Type="http://schemas.openxmlformats.org/officeDocument/2006/relationships/settings" Target="settings.xml"/><Relationship Id="rId7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LibreOffice/7.4.2.3$Linux_X86_64 LibreOffice_project/40$Build-3</Application>
  <AppVersion>15.0000</AppVersion>
  <Pages>12</Pages>
  <Words>2633</Words>
  <Characters>22045</Characters>
  <CharactersWithSpaces>23626</CharactersWithSpaces>
  <Paragraphs>1206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2022-12-23T08:18:00Z</dcterms:created>
  <dc:creator>Марина</dc:creator>
  <dc:description/>
  <dc:language>ru-RU</dc:language>
  <cp:lastModifiedBy/>
  <cp:lastPrinted>2023-01-16T10:20:00Z</cp:lastPrinted>
  <dcterms:modified xsi:type="dcterms:W3CDTF">2023-01-17T16:26:59Z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